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="00244D3A" w:rsidRPr="00736551" w14:paraId="44A7D350" w14:textId="77777777">
        <w:tc>
          <w:tcPr>
            <w:tcW w:w="9143" w:type="dxa"/>
            <w:shd w:val="clear" w:color="auto" w:fill="66CCFF"/>
          </w:tcPr>
          <w:p w14:paraId="6FA6CCA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 w:cs="Arial"/>
                <w:b/>
                <w:caps/>
                <w:sz w:val="28"/>
                <w:szCs w:val="28"/>
              </w:rPr>
            </w:pPr>
            <w:r w:rsidRPr="00736551">
              <w:rPr>
                <w:rFonts w:ascii="Marianne" w:hAnsi="Marianne" w:cs="Arial"/>
                <w:b/>
                <w:bCs/>
                <w:sz w:val="28"/>
                <w:szCs w:val="28"/>
              </w:rPr>
              <w:t>Annexe n°</w:t>
            </w:r>
            <w:r w:rsidRPr="00736551">
              <w:rPr>
                <w:rFonts w:ascii="Marianne" w:hAnsi="Marianne" w:cs="Arial"/>
                <w:sz w:val="24"/>
                <w:szCs w:val="24"/>
              </w:rPr>
              <w:t xml:space="preserve"> </w:t>
            </w:r>
          </w:p>
          <w:p w14:paraId="6D060233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</w:pPr>
            <w:r w:rsidRPr="00736551">
              <w:rPr>
                <w:rFonts w:ascii="Marianne" w:hAnsi="Marianne" w:cs="Arial"/>
                <w:b/>
                <w:caps/>
                <w:sz w:val="28"/>
                <w:szCs w:val="28"/>
              </w:rPr>
              <w:t>déclaration de sous-traitance</w:t>
            </w:r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8"/>
                <w:szCs w:val="28"/>
              </w:rPr>
              <w:t xml:space="preserve"> </w:t>
            </w:r>
          </w:p>
          <w:p w14:paraId="1A8F4F2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/>
              </w:rPr>
            </w:pP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 xml:space="preserve">(Au moment du dépôt de l’offre -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>art L 2193-5 1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</w:rPr>
              <w:t>er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 xml:space="preserve"> alinéa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>)</w:t>
            </w:r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2"/>
                <w:szCs w:val="22"/>
                <w:vertAlign w:val="baseline"/>
              </w:rPr>
              <w:t xml:space="preserve"> </w:t>
            </w:r>
          </w:p>
        </w:tc>
        <w:tc>
          <w:tcPr>
            <w:tcW w:w="1134" w:type="dxa"/>
            <w:shd w:val="clear" w:color="auto" w:fill="66CCFF"/>
          </w:tcPr>
          <w:p w14:paraId="06DC1895" w14:textId="77777777" w:rsidR="00244D3A" w:rsidRPr="00736551" w:rsidRDefault="00244D3A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5626CF7" w14:textId="77777777" w:rsidR="00244D3A" w:rsidRPr="00736551" w:rsidRDefault="00244D3A">
      <w:pPr>
        <w:jc w:val="both"/>
        <w:rPr>
          <w:rFonts w:ascii="Marianne" w:hAnsi="Marianne"/>
          <w:sz w:val="12"/>
          <w:szCs w:val="12"/>
        </w:rPr>
      </w:pPr>
    </w:p>
    <w:p w14:paraId="5BFB35D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i/>
          <w:sz w:val="18"/>
          <w:szCs w:val="18"/>
        </w:rPr>
        <w:t>Ce formulaire est un modèle de déclaration de sous-traitance qui sera utilisé par les candidats lors de la remise de leur offre pour présenter un sous-traitant.</w:t>
      </w:r>
    </w:p>
    <w:p w14:paraId="4F4C76F4" w14:textId="77777777" w:rsidR="00244D3A" w:rsidRPr="00736551" w:rsidRDefault="00244D3A">
      <w:pPr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C6E7E6" w14:textId="77777777">
        <w:tc>
          <w:tcPr>
            <w:tcW w:w="10277" w:type="dxa"/>
            <w:shd w:val="clear" w:color="auto" w:fill="66CCFF"/>
          </w:tcPr>
          <w:p w14:paraId="437C5B49" w14:textId="77777777" w:rsidR="00244D3A" w:rsidRPr="00736551" w:rsidRDefault="00244D3A" w:rsidP="00182666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A.- </w:t>
            </w:r>
            <w:r w:rsidR="000F487A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2DBB1702" w14:textId="77777777" w:rsidR="00244D3A" w:rsidRPr="00736551" w:rsidRDefault="00244D3A">
      <w:pPr>
        <w:pStyle w:val="Titre5"/>
        <w:ind w:left="1418"/>
        <w:jc w:val="left"/>
        <w:rPr>
          <w:rFonts w:ascii="Marianne" w:eastAsia="Arial" w:hAnsi="Marianne"/>
        </w:rPr>
      </w:pPr>
    </w:p>
    <w:p w14:paraId="7D6E60E5" w14:textId="77777777" w:rsidR="00736551" w:rsidRPr="004F1686" w:rsidRDefault="00736551" w:rsidP="00736551">
      <w:pPr>
        <w:numPr>
          <w:ilvl w:val="0"/>
          <w:numId w:val="1"/>
        </w:num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E8821BD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1782FC8C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171F32C5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22EB73FA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DCD1171" w14:textId="77777777" w:rsidR="00736551" w:rsidRPr="004F1686" w:rsidRDefault="00736551" w:rsidP="00736551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7F22EACC" w14:textId="77777777" w:rsidR="00A84133" w:rsidRDefault="00A84133">
      <w:pPr>
        <w:spacing w:before="120"/>
        <w:ind w:firstLine="20"/>
        <w:jc w:val="center"/>
        <w:rPr>
          <w:rFonts w:ascii="Marianne" w:hAnsi="Marianne"/>
          <w:sz w:val="12"/>
          <w:szCs w:val="12"/>
        </w:rPr>
      </w:pPr>
    </w:p>
    <w:p w14:paraId="799690A3" w14:textId="77777777" w:rsidR="00244D3A" w:rsidRPr="00736551" w:rsidRDefault="00CB3D8B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Le</w:t>
      </w:r>
      <w:r w:rsidR="00244D3A" w:rsidRPr="00736551">
        <w:rPr>
          <w:rFonts w:ascii="Marianne" w:hAnsi="Marianne" w:cs="Arial"/>
        </w:rPr>
        <w:t xml:space="preserve"> RPA est </w:t>
      </w:r>
      <w:r w:rsidR="00244D3A" w:rsidRPr="00736551">
        <w:rPr>
          <w:rFonts w:ascii="Marianne" w:eastAsia="Wingdings" w:hAnsi="Marianne" w:cs="Arial"/>
        </w:rPr>
        <w:t>habilité à donner les renseignements prévus à l’</w:t>
      </w:r>
      <w:r w:rsidR="00244D3A" w:rsidRPr="00CB3D8B">
        <w:rPr>
          <w:rFonts w:ascii="Marianne" w:eastAsia="Wingdings" w:hAnsi="Marianne" w:cs="Arial"/>
        </w:rPr>
        <w:t>article R. 2191-</w:t>
      </w:r>
      <w:r>
        <w:rPr>
          <w:rFonts w:ascii="Marianne" w:eastAsia="Wingdings" w:hAnsi="Marianne" w:cs="Arial"/>
        </w:rPr>
        <w:t>60</w:t>
      </w:r>
      <w:r w:rsidR="00244D3A" w:rsidRPr="00736551">
        <w:rPr>
          <w:rFonts w:ascii="Marianne" w:eastAsia="Wingdings" w:hAnsi="Marianne" w:cs="Arial"/>
        </w:rPr>
        <w:t xml:space="preserve"> d</w:t>
      </w:r>
      <w:r>
        <w:rPr>
          <w:rFonts w:ascii="Marianne" w:eastAsia="Wingdings" w:hAnsi="Marianne" w:cs="Arial"/>
        </w:rPr>
        <w:t xml:space="preserve">u code de la commande publique </w:t>
      </w:r>
      <w:r w:rsidR="00244D3A" w:rsidRPr="00736551">
        <w:rPr>
          <w:rFonts w:ascii="Marianne" w:eastAsia="Wingdings" w:hAnsi="Marianne" w:cs="Arial"/>
        </w:rPr>
        <w:t xml:space="preserve">(nantissements ou cessions de créances) </w:t>
      </w:r>
    </w:p>
    <w:p w14:paraId="2037B939" w14:textId="77777777" w:rsidR="00244D3A" w:rsidRPr="00736551" w:rsidRDefault="00244D3A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2E0FAE2" w14:textId="77777777">
        <w:tc>
          <w:tcPr>
            <w:tcW w:w="10277" w:type="dxa"/>
            <w:shd w:val="clear" w:color="auto" w:fill="66CCFF"/>
          </w:tcPr>
          <w:p w14:paraId="14C98ADD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B - Objet du marché public.</w:t>
            </w:r>
          </w:p>
        </w:tc>
      </w:tr>
    </w:tbl>
    <w:p w14:paraId="5C056539" w14:textId="77777777" w:rsidR="00244D3A" w:rsidRPr="00736551" w:rsidRDefault="00244D3A">
      <w:pPr>
        <w:rPr>
          <w:rFonts w:ascii="Marianne" w:hAnsi="Marianne" w:cs="Arial"/>
          <w:sz w:val="21"/>
          <w:szCs w:val="21"/>
        </w:rPr>
      </w:pPr>
    </w:p>
    <w:p w14:paraId="56093397" w14:textId="319FC427" w:rsidR="00244D3A" w:rsidRDefault="00F77CFB" w:rsidP="00BB1BD4">
      <w:pPr>
        <w:jc w:val="center"/>
        <w:rPr>
          <w:rFonts w:ascii="Marianne" w:hAnsi="Marianne" w:cs="Arial-BoldMT"/>
          <w:b/>
          <w:color w:val="000000"/>
          <w:sz w:val="22"/>
          <w:szCs w:val="22"/>
        </w:rPr>
      </w:pPr>
      <w:r w:rsidRPr="00736551">
        <w:rPr>
          <w:rFonts w:ascii="Marianne" w:hAnsi="Marianne" w:cs="Arial-BoldMT"/>
          <w:b/>
          <w:color w:val="000000"/>
          <w:sz w:val="22"/>
          <w:szCs w:val="22"/>
        </w:rPr>
        <w:t>Marché de travaux relatif</w:t>
      </w:r>
      <w:r w:rsidR="001E3804">
        <w:rPr>
          <w:rFonts w:ascii="Marianne" w:hAnsi="Marianne" w:cs="Arial-BoldMT"/>
          <w:b/>
          <w:color w:val="000000"/>
          <w:sz w:val="22"/>
          <w:szCs w:val="22"/>
        </w:rPr>
        <w:t>s</w:t>
      </w:r>
      <w:r w:rsidRPr="00736551">
        <w:rPr>
          <w:rFonts w:ascii="Marianne" w:hAnsi="Marianne" w:cs="Arial-BoldMT"/>
          <w:b/>
          <w:color w:val="000000"/>
          <w:sz w:val="22"/>
          <w:szCs w:val="22"/>
        </w:rPr>
        <w:t xml:space="preserve"> à </w:t>
      </w:r>
      <w:r w:rsidR="00975DE3">
        <w:rPr>
          <w:rFonts w:ascii="Marianne" w:hAnsi="Marianne" w:cs="Arial-BoldMT"/>
          <w:b/>
          <w:color w:val="000000"/>
          <w:sz w:val="22"/>
          <w:szCs w:val="22"/>
        </w:rPr>
        <w:t>la remise en état du site suite à sinistre avec dégât des eaux</w:t>
      </w:r>
    </w:p>
    <w:p w14:paraId="3A0D19AC" w14:textId="77777777" w:rsidR="00885508" w:rsidRPr="00736551" w:rsidRDefault="00885508" w:rsidP="00BB1BD4">
      <w:pPr>
        <w:jc w:val="center"/>
        <w:rPr>
          <w:rFonts w:ascii="Marianne" w:hAnsi="Marianne" w:cs="Arial"/>
          <w:sz w:val="21"/>
          <w:szCs w:val="21"/>
        </w:rPr>
      </w:pPr>
    </w:p>
    <w:p w14:paraId="239EB1F4" w14:textId="77777777" w:rsidR="00244D3A" w:rsidRPr="00736551" w:rsidRDefault="00244D3A">
      <w:pPr>
        <w:rPr>
          <w:rFonts w:ascii="Marianne" w:hAnsi="Marianne" w:cs="Arial"/>
          <w:b/>
          <w:bCs/>
          <w:sz w:val="28"/>
          <w:szCs w:val="28"/>
        </w:rPr>
      </w:pPr>
      <w:r w:rsidRPr="00736551">
        <w:rPr>
          <w:rFonts w:ascii="Marianne" w:hAnsi="Marianne" w:cs="Arial"/>
          <w:b/>
          <w:bCs/>
          <w:sz w:val="21"/>
          <w:szCs w:val="21"/>
        </w:rPr>
        <w:t>lot n°…….. spécialité ……………………….</w:t>
      </w:r>
    </w:p>
    <w:p w14:paraId="1A1DA8A6" w14:textId="77777777" w:rsidR="00244D3A" w:rsidRPr="00736551" w:rsidRDefault="00244D3A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8EE8519" w14:textId="77777777">
        <w:tc>
          <w:tcPr>
            <w:tcW w:w="10277" w:type="dxa"/>
            <w:shd w:val="clear" w:color="auto" w:fill="66CCFF"/>
          </w:tcPr>
          <w:p w14:paraId="7EDB94F5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C - Identification du soumissionnaire du marché public.</w:t>
            </w:r>
          </w:p>
        </w:tc>
      </w:tr>
    </w:tbl>
    <w:p w14:paraId="0174E0EF" w14:textId="77777777" w:rsidR="00244D3A" w:rsidRPr="00736551" w:rsidRDefault="00244D3A">
      <w:pPr>
        <w:spacing w:before="120"/>
        <w:jc w:val="both"/>
        <w:rPr>
          <w:rFonts w:ascii="Marianne" w:hAnsi="Marianne"/>
          <w:sz w:val="12"/>
          <w:szCs w:val="12"/>
        </w:rPr>
      </w:pPr>
    </w:p>
    <w:p w14:paraId="7BE5E3EC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  <w:r w:rsidRPr="00736551">
        <w:rPr>
          <w:rFonts w:ascii="Marianne" w:hAnsi="Marianne" w:cs="Arial"/>
        </w:rPr>
        <w:t>Ces renseignements sont donnés dans l’acte d’engagement.</w:t>
      </w:r>
    </w:p>
    <w:p w14:paraId="3D65D04B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BDD40C" w14:textId="77777777">
        <w:tc>
          <w:tcPr>
            <w:tcW w:w="10277" w:type="dxa"/>
            <w:shd w:val="clear" w:color="auto" w:fill="66CCFF"/>
          </w:tcPr>
          <w:p w14:paraId="05F4A07F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D - Identification du sous-traitant.</w:t>
            </w:r>
          </w:p>
        </w:tc>
      </w:tr>
    </w:tbl>
    <w:p w14:paraId="517C94C5" w14:textId="77777777" w:rsidR="00244D3A" w:rsidRPr="00736551" w:rsidRDefault="00244D3A">
      <w:pPr>
        <w:rPr>
          <w:rFonts w:ascii="Marianne" w:hAnsi="Marianne"/>
        </w:rPr>
      </w:pPr>
    </w:p>
    <w:p w14:paraId="33641D30" w14:textId="77777777" w:rsidR="00244D3A" w:rsidRPr="00736551" w:rsidRDefault="00736551">
      <w:pPr>
        <w:jc w:val="both"/>
        <w:rPr>
          <w:rFonts w:ascii="Marianne" w:hAnsi="Marianne" w:cs="Arial"/>
        </w:rPr>
      </w:pPr>
      <w:r w:rsidRPr="00BD6B4C">
        <w:rPr>
          <w:rFonts w:ascii="Webdings" w:eastAsia="Arial" w:hAnsi="Webdings" w:cs="Arial"/>
          <w:bCs/>
          <w:color w:val="000000"/>
          <w:spacing w:val="-10"/>
        </w:rPr>
        <w:t></w:t>
      </w:r>
      <w:r w:rsidR="00244D3A" w:rsidRPr="00BD6B4C">
        <w:rPr>
          <w:rFonts w:ascii="Webdings" w:eastAsia="Arial" w:hAnsi="Webdings" w:cs="Arial"/>
          <w:bCs/>
          <w:color w:val="000000"/>
          <w:spacing w:val="-10"/>
        </w:rPr>
        <w:t></w:t>
      </w:r>
      <w:r w:rsidR="00244D3A" w:rsidRPr="00BD6B4C">
        <w:rPr>
          <w:rFonts w:ascii="Marianne" w:eastAsia="Arial" w:hAnsi="Marianne" w:cs="Arial"/>
          <w:bCs/>
          <w:color w:val="000000"/>
          <w:spacing w:val="-10"/>
        </w:rPr>
        <w:t xml:space="preserve"> </w:t>
      </w:r>
      <w:r w:rsidR="00244D3A" w:rsidRPr="00736551">
        <w:rPr>
          <w:rFonts w:ascii="Marianne" w:hAnsi="Marianne" w:cs="Arial"/>
          <w:bCs/>
          <w:spacing w:val="-10"/>
        </w:rPr>
        <w:t>N</w:t>
      </w:r>
      <w:r w:rsidR="00244D3A" w:rsidRPr="00736551">
        <w:rPr>
          <w:rFonts w:ascii="Marianne" w:hAnsi="Marianne" w:cs="Arial"/>
        </w:rPr>
        <w:t>om commercial et dénomination sociale du sous-traitant, adresses de son établissement et de son siège social (si elle est différente de celle de l’établissement), adresse électronique, numéros de téléphone et numéro SIRET :</w:t>
      </w:r>
    </w:p>
    <w:p w14:paraId="22C08930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4F5BCC9B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0FC52BCE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A2E3AFB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Forme juridique du sous-traitant (entreprise individuelle, SA, SARL, EURL, association, établissement public, etc.):</w:t>
      </w:r>
    </w:p>
    <w:p w14:paraId="7A996B0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AACB0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7DFF1C77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Numéro d’enregistrement au registre du commerce, au répertoire des métiers, au centre de formalité des entreprises :</w:t>
      </w:r>
    </w:p>
    <w:p w14:paraId="3EF4075A" w14:textId="77777777" w:rsidR="00244D3A" w:rsidRDefault="00244D3A">
      <w:pPr>
        <w:jc w:val="both"/>
        <w:rPr>
          <w:rFonts w:ascii="Marianne" w:hAnsi="Marianne" w:cs="Arial"/>
        </w:rPr>
      </w:pPr>
    </w:p>
    <w:p w14:paraId="32CAE6EE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2D0A0D22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Personne(s) physique(s) ayant le pouvoir d’engager le sous-traitant : </w:t>
      </w:r>
      <w:r w:rsidR="00244D3A" w:rsidRPr="00736551">
        <w:rPr>
          <w:rFonts w:ascii="Marianne" w:hAnsi="Marianne" w:cs="Arial"/>
          <w:i/>
          <w:sz w:val="18"/>
          <w:szCs w:val="18"/>
        </w:rPr>
        <w:t>(Indiquer le nom, prénom et la qualité de chaque personne. Joindre en annexe un justificatif prouvant l’habilitation à engager le sous-traitant.)</w:t>
      </w:r>
    </w:p>
    <w:p w14:paraId="75A68E9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1B839E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391211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51B02E1A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Le sous-traitant est-il une micro, une petite, ou une moyenne entreprise au sens de la </w:t>
      </w:r>
      <w:hyperlink r:id="rId7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recommandation de la Commission du 6 mai 2003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ou un artisan au sens au sens </w:t>
      </w:r>
      <w:hyperlink r:id="rId8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de l'article 19 de la loi du 5 juillet 1996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n° 96-603 modifiée </w:t>
      </w:r>
      <w:r w:rsidR="00244D3A" w:rsidRPr="00736551">
        <w:rPr>
          <w:rFonts w:ascii="Marianne" w:eastAsia="Arial" w:hAnsi="Marianne" w:cs="Arial"/>
          <w:bCs/>
          <w:spacing w:val="-10"/>
        </w:rPr>
        <w:lastRenderedPageBreak/>
        <w:t>relative au développement et à la promotion du commerce et de l’artisanat (</w:t>
      </w:r>
      <w:hyperlink r:id="rId9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Art. R. 2151-13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et </w:t>
      </w:r>
      <w:hyperlink r:id="rId10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R. 2351-12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du code de la commande publique) ?</w:t>
      </w:r>
    </w:p>
    <w:p w14:paraId="6EE569BE" w14:textId="77777777" w:rsidR="00244D3A" w:rsidRPr="00736551" w:rsidRDefault="00244D3A" w:rsidP="00BB1BD4">
      <w:pPr>
        <w:ind w:firstLine="709"/>
        <w:jc w:val="both"/>
        <w:rPr>
          <w:rFonts w:ascii="Marianne" w:hAnsi="Marianne"/>
          <w:b/>
          <w:sz w:val="24"/>
          <w:szCs w:val="24"/>
        </w:rPr>
      </w:pPr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0" w:name="Unknown3"/>
      <w:bookmarkEnd w:id="0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="00500BF2"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r w:rsidRPr="00736551">
        <w:rPr>
          <w:rFonts w:ascii="Marianne" w:hAnsi="Marianne" w:cs="Arial"/>
          <w:b/>
          <w:sz w:val="24"/>
          <w:szCs w:val="24"/>
        </w:rPr>
        <w:t xml:space="preserve">            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</w:p>
    <w:p w14:paraId="7216971B" w14:textId="77777777" w:rsidR="00244D3A" w:rsidRDefault="00244D3A">
      <w:pPr>
        <w:jc w:val="both"/>
        <w:rPr>
          <w:rFonts w:ascii="Marianne" w:hAnsi="Marianne" w:cs="Arial"/>
        </w:rPr>
      </w:pPr>
    </w:p>
    <w:p w14:paraId="67AFD507" w14:textId="77777777" w:rsidR="00736551" w:rsidRPr="00736551" w:rsidRDefault="00736551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24BABF58" w14:textId="77777777">
        <w:tc>
          <w:tcPr>
            <w:tcW w:w="10277" w:type="dxa"/>
            <w:shd w:val="clear" w:color="auto" w:fill="66CCFF"/>
          </w:tcPr>
          <w:p w14:paraId="5F8C4EE0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E - Nature et prix des prestations sous-traitées.</w:t>
            </w:r>
          </w:p>
        </w:tc>
      </w:tr>
    </w:tbl>
    <w:p w14:paraId="2B4B4FE3" w14:textId="77777777" w:rsidR="00244D3A" w:rsidRPr="00736551" w:rsidRDefault="00244D3A">
      <w:pPr>
        <w:jc w:val="both"/>
        <w:rPr>
          <w:rFonts w:ascii="Marianne" w:hAnsi="Marianne" w:cs="Arial"/>
          <w:sz w:val="18"/>
          <w:szCs w:val="18"/>
        </w:rPr>
      </w:pPr>
      <w:r w:rsidRPr="00736551">
        <w:rPr>
          <w:rFonts w:ascii="Marianne" w:hAnsi="Marianne" w:cs="Arial"/>
          <w:sz w:val="18"/>
          <w:szCs w:val="18"/>
        </w:rPr>
        <w:t>(</w:t>
      </w:r>
      <w:r w:rsidR="00500BF2" w:rsidRPr="00736551">
        <w:rPr>
          <w:rFonts w:ascii="Marianne" w:hAnsi="Marianne" w:cs="Arial"/>
          <w:sz w:val="18"/>
          <w:szCs w:val="18"/>
        </w:rPr>
        <w:t>Reprendre</w:t>
      </w:r>
      <w:r w:rsidRPr="00736551">
        <w:rPr>
          <w:rFonts w:ascii="Marianne" w:hAnsi="Marianne" w:cs="Arial"/>
          <w:sz w:val="18"/>
          <w:szCs w:val="18"/>
        </w:rPr>
        <w:t xml:space="preserve"> les éléments concernés tels qu’ils figurent dans le contrat de sous-traitance) </w:t>
      </w:r>
    </w:p>
    <w:p w14:paraId="034484CB" w14:textId="77777777" w:rsidR="00244D3A" w:rsidRPr="00736551" w:rsidRDefault="00244D3A">
      <w:pPr>
        <w:jc w:val="both"/>
        <w:rPr>
          <w:rFonts w:ascii="Marianne" w:hAnsi="Marianne"/>
        </w:rPr>
      </w:pPr>
    </w:p>
    <w:p w14:paraId="76A7249A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/>
          <w:bCs/>
        </w:rPr>
        <w:t>Nature des prestations sous-traitées</w:t>
      </w:r>
      <w:r w:rsidRPr="00736551">
        <w:rPr>
          <w:rFonts w:ascii="Marianne" w:hAnsi="Marianne" w:cs="Arial"/>
        </w:rPr>
        <w:t> :</w:t>
      </w:r>
    </w:p>
    <w:p w14:paraId="0534256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C8AC757" w14:textId="77777777" w:rsidR="00244D3A" w:rsidRDefault="00244D3A">
      <w:pPr>
        <w:jc w:val="both"/>
        <w:rPr>
          <w:rFonts w:ascii="Marianne" w:hAnsi="Marianne" w:cs="Arial"/>
        </w:rPr>
      </w:pPr>
    </w:p>
    <w:p w14:paraId="330E2AED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4191832A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Dans le cas </w:t>
      </w:r>
      <w:r w:rsidR="00050F6D" w:rsidRPr="00736551">
        <w:rPr>
          <w:rFonts w:ascii="Marianne" w:hAnsi="Marianne" w:cs="Arial"/>
        </w:rPr>
        <w:t>où</w:t>
      </w:r>
      <w:r w:rsidRPr="00736551">
        <w:rPr>
          <w:rFonts w:ascii="Marianne" w:hAnsi="Marianne" w:cs="Arial"/>
        </w:rPr>
        <w:t xml:space="preserve"> le soumissionnaire du marché est un groupement d’entreprises et si les prestations sont individualisables, il sera précisé quel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cotraitant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est </w:t>
      </w:r>
      <w:r w:rsidR="0011392F" w:rsidRPr="00736551">
        <w:rPr>
          <w:rFonts w:ascii="Marianne" w:hAnsi="Marianne" w:cs="Arial"/>
        </w:rPr>
        <w:t xml:space="preserve">(sont) </w:t>
      </w:r>
      <w:r w:rsidRPr="00736551">
        <w:rPr>
          <w:rFonts w:ascii="Marianne" w:hAnsi="Marianne" w:cs="Arial"/>
        </w:rPr>
        <w:t>concerné</w:t>
      </w:r>
      <w:r w:rsidR="0011392F" w:rsidRPr="00736551">
        <w:rPr>
          <w:rFonts w:ascii="Marianne" w:hAnsi="Marianne" w:cs="Arial"/>
        </w:rPr>
        <w:t xml:space="preserve"> (</w:t>
      </w:r>
      <w:r w:rsidR="00736551" w:rsidRPr="00736551">
        <w:rPr>
          <w:rFonts w:ascii="Marianne" w:hAnsi="Marianne" w:cs="Arial"/>
        </w:rPr>
        <w:t>s) par</w:t>
      </w:r>
      <w:r w:rsidRPr="00736551">
        <w:rPr>
          <w:rFonts w:ascii="Marianne" w:hAnsi="Marianne" w:cs="Arial"/>
        </w:rPr>
        <w:t xml:space="preserve"> la présente soustraitance :  ………………………………………...</w:t>
      </w:r>
    </w:p>
    <w:p w14:paraId="0661BD86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EB07A4B" w14:textId="77777777" w:rsidR="00244D3A" w:rsidRPr="00736551" w:rsidRDefault="00736551">
      <w:pPr>
        <w:jc w:val="both"/>
        <w:rPr>
          <w:rFonts w:ascii="Marianne" w:eastAsia="Arial" w:hAnsi="Marianne" w:cs="Arial"/>
          <w:bCs/>
          <w:spacing w:val="-10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/>
          <w:bCs/>
          <w:spacing w:val="-10"/>
        </w:rPr>
        <w:t>Montant maximum des sommes à verser par paiement direct au sous-traitant :</w:t>
      </w:r>
    </w:p>
    <w:p w14:paraId="03508D6E" w14:textId="77777777" w:rsidR="00244D3A" w:rsidRPr="00736551" w:rsidRDefault="00244D3A">
      <w:pPr>
        <w:jc w:val="both"/>
        <w:rPr>
          <w:rFonts w:ascii="Marianne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 </w:t>
      </w:r>
    </w:p>
    <w:p w14:paraId="444E63F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b/>
          <w:bCs/>
          <w:spacing w:val="-10"/>
        </w:rPr>
        <w:t>a)</w:t>
      </w:r>
      <w:r w:rsidRPr="00736551">
        <w:rPr>
          <w:rFonts w:ascii="Marianne" w:hAnsi="Marianne" w:cs="Arial"/>
          <w:bCs/>
          <w:color w:val="FFFF00"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</w:t>
      </w:r>
      <w:r w:rsidRPr="00736551">
        <w:rPr>
          <w:rFonts w:ascii="Marianne" w:hAnsi="Marianne" w:cs="Arial"/>
        </w:rPr>
        <w:t xml:space="preserve">du contrat de sous-traitance dans le cas de prestations ne relevant pas du b) ci-dessous : </w:t>
      </w:r>
    </w:p>
    <w:p w14:paraId="0E5CEA2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Taux de la TVA :</w:t>
      </w:r>
      <w:r w:rsidRPr="00736551">
        <w:rPr>
          <w:rFonts w:ascii="Marianne" w:hAnsi="Marianne" w:cs="Arial"/>
          <w:sz w:val="24"/>
          <w:szCs w:val="24"/>
        </w:rPr>
        <w:t xml:space="preserve"> …………………………………..</w:t>
      </w:r>
    </w:p>
    <w:p w14:paraId="1D8E826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HT : </w:t>
      </w:r>
      <w:r w:rsidRPr="00736551">
        <w:rPr>
          <w:rFonts w:ascii="Marianne" w:hAnsi="Marianne" w:cs="Arial"/>
          <w:sz w:val="24"/>
          <w:szCs w:val="24"/>
        </w:rPr>
        <w:t>……………………………………...</w:t>
      </w:r>
    </w:p>
    <w:p w14:paraId="7F2C71EA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TTC : </w:t>
      </w:r>
      <w:r w:rsidRPr="00736551">
        <w:rPr>
          <w:rFonts w:ascii="Marianne" w:hAnsi="Marianne" w:cs="Arial"/>
          <w:sz w:val="24"/>
          <w:szCs w:val="24"/>
        </w:rPr>
        <w:t>…………………………………….</w:t>
      </w:r>
    </w:p>
    <w:p w14:paraId="671B246D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</w:p>
    <w:p w14:paraId="175164B5" w14:textId="77777777" w:rsidR="00244D3A" w:rsidRPr="00736551" w:rsidRDefault="00244D3A">
      <w:pPr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/>
          <w:bCs/>
          <w:spacing w:val="-10"/>
        </w:rPr>
        <w:t>b)</w:t>
      </w:r>
      <w:r w:rsidRPr="00736551">
        <w:rPr>
          <w:rFonts w:ascii="Marianne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du contrat de sous-traitance dans le cas de travaux sous-traités relevant de </w:t>
      </w:r>
      <w:hyperlink r:id="rId11" w:history="1">
        <w:r w:rsidRPr="00736551">
          <w:rPr>
            <w:rStyle w:val="Lienhypertexte"/>
            <w:rFonts w:ascii="Marianne" w:hAnsi="Marianne" w:cs="Arial"/>
            <w:bCs/>
          </w:rPr>
          <w:t>l’article 283-2 nonies du code général des impôts</w:t>
        </w:r>
      </w:hyperlink>
      <w:r w:rsidRPr="00736551">
        <w:rPr>
          <w:rFonts w:ascii="Marianne" w:hAnsi="Marianne" w:cs="Arial"/>
          <w:bCs/>
        </w:rPr>
        <w:t xml:space="preserve"> </w:t>
      </w:r>
      <w:r w:rsidRPr="00736551">
        <w:rPr>
          <w:rFonts w:ascii="Marianne" w:hAnsi="Marianne" w:cs="Arial"/>
          <w:bCs/>
          <w:spacing w:val="-10"/>
        </w:rPr>
        <w:t xml:space="preserve">: </w:t>
      </w:r>
    </w:p>
    <w:p w14:paraId="289137F1" w14:textId="77777777" w:rsidR="00244D3A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42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>Taux de la TVA : auto-liquidation (la TVA est due par le titulaire)</w:t>
      </w:r>
    </w:p>
    <w:p w14:paraId="661BD744" w14:textId="77777777" w:rsidR="00244D3A" w:rsidRPr="00736551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066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 xml:space="preserve">Montant hors TVA : </w:t>
      </w:r>
      <w:r w:rsidR="00736551" w:rsidRPr="00736551">
        <w:rPr>
          <w:rFonts w:ascii="Marianne" w:hAnsi="Marianne" w:cs="Arial"/>
          <w:sz w:val="24"/>
          <w:szCs w:val="24"/>
        </w:rPr>
        <w:t>…………………………………..</w:t>
      </w:r>
    </w:p>
    <w:p w14:paraId="551E26D1" w14:textId="77777777" w:rsidR="00736551" w:rsidRDefault="00736551" w:rsidP="00736551">
      <w:pPr>
        <w:pStyle w:val="Paragraphedeliste"/>
        <w:spacing w:before="120"/>
        <w:jc w:val="both"/>
        <w:rPr>
          <w:rFonts w:ascii="Marianne" w:hAnsi="Marianne" w:cs="Arial"/>
          <w:sz w:val="24"/>
          <w:szCs w:val="24"/>
        </w:rPr>
      </w:pPr>
    </w:p>
    <w:p w14:paraId="00C3F4F9" w14:textId="77777777" w:rsidR="00244D3A" w:rsidRPr="00736551" w:rsidRDefault="00736551">
      <w:pPr>
        <w:jc w:val="both"/>
        <w:rPr>
          <w:rFonts w:ascii="Marianne" w:hAnsi="Marianne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FFFF00"/>
          <w:spacing w:val="-10"/>
        </w:rPr>
        <w:t> </w:t>
      </w:r>
      <w:r w:rsidR="00244D3A" w:rsidRPr="00736551">
        <w:rPr>
          <w:rFonts w:ascii="Marianne" w:eastAsia="Arial" w:hAnsi="Marianne" w:cs="Arial"/>
          <w:bCs/>
          <w:color w:val="FFFF00"/>
          <w:spacing w:val="-10"/>
        </w:rPr>
        <w:t xml:space="preserve"> </w:t>
      </w:r>
      <w:r w:rsidR="00244D3A" w:rsidRPr="00736551">
        <w:rPr>
          <w:rFonts w:ascii="Marianne" w:hAnsi="Marianne" w:cs="Arial"/>
          <w:b/>
          <w:bCs/>
        </w:rPr>
        <w:t>Modalités de variation des prix</w:t>
      </w:r>
      <w:r w:rsidR="00244D3A" w:rsidRPr="00736551">
        <w:rPr>
          <w:rFonts w:ascii="Marianne" w:hAnsi="Marianne" w:cs="Arial"/>
          <w:bCs/>
        </w:rPr>
        <w:t xml:space="preserve"> : </w:t>
      </w:r>
      <w:r w:rsidR="00244D3A" w:rsidRPr="00736551">
        <w:rPr>
          <w:rFonts w:ascii="Marianne" w:hAnsi="Marianne" w:cs="Arial"/>
          <w:bCs/>
        </w:rPr>
        <w:tab/>
      </w:r>
      <w:r w:rsidR="00244D3A" w:rsidRPr="00736551">
        <w:rPr>
          <w:rFonts w:ascii="Marianne" w:hAnsi="Marianne" w:cs="Arial"/>
          <w:b/>
          <w:bCs/>
        </w:rPr>
        <w:t>Prix fermes.</w:t>
      </w:r>
    </w:p>
    <w:p w14:paraId="7899AE26" w14:textId="77777777" w:rsidR="00244D3A" w:rsidRPr="00736551" w:rsidRDefault="00244D3A">
      <w:pPr>
        <w:jc w:val="both"/>
        <w:rPr>
          <w:rFonts w:ascii="Marianne" w:hAnsi="Marianne"/>
        </w:rPr>
      </w:pPr>
    </w:p>
    <w:p w14:paraId="3ABAE2C4" w14:textId="77777777" w:rsidR="00244D3A" w:rsidRPr="00736551" w:rsidRDefault="00736551">
      <w:pPr>
        <w:jc w:val="both"/>
        <w:rPr>
          <w:rFonts w:ascii="Marianne" w:hAnsi="Marianne" w:cs="Arial"/>
          <w:b/>
          <w:bCs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color w:val="66CCFF"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Le titulaire déclare que son sous-traitant remplit les conditions pour avoir droit au paiement direct </w:t>
      </w:r>
      <w:r w:rsidR="00244D3A" w:rsidRPr="00736551">
        <w:rPr>
          <w:rFonts w:ascii="Marianne" w:hAnsi="Marianne" w:cs="Arial"/>
          <w:i/>
          <w:sz w:val="18"/>
          <w:szCs w:val="18"/>
        </w:rPr>
        <w:t xml:space="preserve">(contrat de sous-traitance &gt; à 600 € TTC </w:t>
      </w:r>
      <w:r w:rsidR="00244D3A" w:rsidRPr="00736551">
        <w:rPr>
          <w:rFonts w:ascii="Marianne" w:eastAsia="Wingdings" w:hAnsi="Marianne" w:cs="Arial"/>
          <w:i/>
          <w:sz w:val="18"/>
          <w:szCs w:val="18"/>
        </w:rPr>
        <w:t>(</w:t>
      </w:r>
      <w:hyperlink r:id="rId12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2193-10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ou </w:t>
      </w:r>
      <w:hyperlink r:id="rId13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2393-33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du code de la commande publique) :</w:t>
      </w:r>
    </w:p>
    <w:p w14:paraId="2E9A3B11" w14:textId="77777777" w:rsidR="00244D3A" w:rsidRPr="00736551" w:rsidRDefault="00244D3A" w:rsidP="00BB1BD4">
      <w:pPr>
        <w:ind w:firstLine="709"/>
        <w:jc w:val="both"/>
        <w:rPr>
          <w:rFonts w:ascii="Marianne" w:hAnsi="Marianne"/>
          <w:sz w:val="24"/>
          <w:szCs w:val="24"/>
        </w:rPr>
      </w:pPr>
      <w:r w:rsidRPr="00736551">
        <w:rPr>
          <w:rFonts w:ascii="Marianne" w:hAnsi="Marianne" w:cs="Arial"/>
          <w:b/>
          <w:bCs/>
          <w:sz w:val="24"/>
          <w:szCs w:val="24"/>
        </w:rPr>
        <w:t xml:space="preserve">oui </w:t>
      </w:r>
      <w:bookmarkStart w:id="1" w:name="Unknown31"/>
      <w:bookmarkEnd w:id="1"/>
      <w:r w:rsidRPr="00736551">
        <w:rPr>
          <w:rFonts w:ascii="Marianne" w:hAnsi="Marianne" w:cs="Arial"/>
          <w:b/>
          <w:bCs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  <w:r w:rsidRPr="00736551">
        <w:rPr>
          <w:rFonts w:ascii="Marianne" w:hAnsi="Marianne" w:cs="Arial"/>
          <w:b/>
          <w:bCs/>
          <w:sz w:val="24"/>
          <w:szCs w:val="24"/>
        </w:rPr>
        <w:t xml:space="preserve">           non 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</w:p>
    <w:p w14:paraId="6DD8C80D" w14:textId="77777777" w:rsidR="00244D3A" w:rsidRPr="00736551" w:rsidRDefault="00244D3A">
      <w:pPr>
        <w:jc w:val="both"/>
        <w:rPr>
          <w:rFonts w:ascii="Marianne" w:hAnsi="Marianne"/>
        </w:rPr>
      </w:pPr>
    </w:p>
    <w:p w14:paraId="307F8280" w14:textId="77777777" w:rsidR="00244D3A" w:rsidRPr="00736551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244D3A" w:rsidRPr="00736551" w14:paraId="69913178" w14:textId="77777777">
        <w:tc>
          <w:tcPr>
            <w:tcW w:w="10208" w:type="dxa"/>
            <w:shd w:val="clear" w:color="auto" w:fill="66CCFF"/>
          </w:tcPr>
          <w:p w14:paraId="26BE32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F - Conditions de paiement.</w:t>
            </w:r>
          </w:p>
        </w:tc>
      </w:tr>
    </w:tbl>
    <w:p w14:paraId="0223B206" w14:textId="77777777" w:rsidR="00244D3A" w:rsidRPr="00736551" w:rsidRDefault="00244D3A">
      <w:pPr>
        <w:jc w:val="both"/>
        <w:rPr>
          <w:rFonts w:ascii="Marianne" w:hAnsi="Marianne"/>
        </w:rPr>
      </w:pPr>
    </w:p>
    <w:p w14:paraId="2E713319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66CCFF"/>
          <w:spacing w:val="-10"/>
        </w:rPr>
        <w:t> </w:t>
      </w:r>
      <w:r w:rsidR="00244D3A" w:rsidRPr="00736551">
        <w:rPr>
          <w:rFonts w:ascii="Marianne" w:hAnsi="Marianne" w:cs="Arial"/>
          <w:bCs/>
        </w:rPr>
        <w:t>Compte à créditer :</w:t>
      </w:r>
      <w:r w:rsidR="00244D3A" w:rsidRPr="00736551">
        <w:rPr>
          <w:rFonts w:ascii="Marianne" w:hAnsi="Marianne" w:cs="Arial"/>
          <w:bCs/>
          <w:i/>
          <w:sz w:val="18"/>
          <w:szCs w:val="18"/>
        </w:rPr>
        <w:t xml:space="preserve"> (Joindre un relevé d’identité bancaire ou postal.)</w:t>
      </w:r>
    </w:p>
    <w:p w14:paraId="47C21249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7B4460F1" w14:textId="77777777" w:rsidR="00244D3A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0948095F" w14:textId="77777777" w:rsidR="00312090" w:rsidRPr="00736551" w:rsidRDefault="00312090">
      <w:pPr>
        <w:jc w:val="both"/>
        <w:rPr>
          <w:rFonts w:ascii="Marianne" w:hAnsi="Marianne" w:cs="Arial"/>
          <w:i/>
          <w:sz w:val="18"/>
          <w:szCs w:val="18"/>
        </w:rPr>
      </w:pPr>
    </w:p>
    <w:p w14:paraId="2B9C32E4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22592335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Nom de l’établissement bancaire :</w:t>
      </w:r>
    </w:p>
    <w:p w14:paraId="50A85B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5CE26DD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B5CDEB" w14:textId="77777777" w:rsidR="00244D3A" w:rsidRPr="00736551" w:rsidRDefault="00244D3A">
      <w:pPr>
        <w:jc w:val="both"/>
        <w:rPr>
          <w:rFonts w:ascii="Marianne" w:hAnsi="Marianne" w:cs="Arial"/>
          <w:bCs/>
        </w:rPr>
      </w:pPr>
      <w:r w:rsidRPr="00736551">
        <w:rPr>
          <w:rFonts w:ascii="Marianne" w:hAnsi="Marianne" w:cs="Arial"/>
        </w:rPr>
        <w:t>Numéro de compte :</w:t>
      </w:r>
    </w:p>
    <w:p w14:paraId="49A97DD9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064DC0A2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6FE3AF4F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bCs/>
        </w:rPr>
        <w:t xml:space="preserve">Dans le cas </w:t>
      </w:r>
      <w:r w:rsidR="0035737F" w:rsidRPr="00736551">
        <w:rPr>
          <w:rFonts w:ascii="Marianne" w:hAnsi="Marianne" w:cs="Arial"/>
          <w:bCs/>
        </w:rPr>
        <w:t>où</w:t>
      </w:r>
      <w:r w:rsidRPr="00736551">
        <w:rPr>
          <w:rFonts w:ascii="Marianne" w:hAnsi="Marianne" w:cs="Arial"/>
          <w:bCs/>
        </w:rPr>
        <w:t xml:space="preserve"> le titulaire remplit les conditions pour bénéficier d’une avance; le sous-traitant peut bénéficier d’une avance. </w:t>
      </w:r>
      <w:r w:rsidRPr="00736551">
        <w:rPr>
          <w:rFonts w:ascii="Marianne" w:hAnsi="Marianne" w:cs="Arial"/>
        </w:rPr>
        <w:t>Le sous-traitant demande à bénéficier de cette avance </w:t>
      </w:r>
      <w:r w:rsidRPr="00736551">
        <w:rPr>
          <w:rFonts w:ascii="Marianne" w:hAnsi="Marianne" w:cs="Arial"/>
          <w:i/>
          <w:sz w:val="18"/>
          <w:szCs w:val="18"/>
        </w:rPr>
        <w:t xml:space="preserve">: </w:t>
      </w:r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2" w:name="Unknown"/>
      <w:bookmarkEnd w:id="2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r w:rsidRPr="00736551">
        <w:rPr>
          <w:rFonts w:ascii="Marianne" w:hAnsi="Marianne" w:cs="Arial"/>
          <w:b/>
          <w:sz w:val="24"/>
          <w:szCs w:val="24"/>
        </w:rPr>
        <w:t xml:space="preserve">           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</w:p>
    <w:p w14:paraId="0CC96D34" w14:textId="77777777" w:rsidR="00244D3A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0D9E514F" w14:textId="77777777">
        <w:tc>
          <w:tcPr>
            <w:tcW w:w="10277" w:type="dxa"/>
            <w:shd w:val="clear" w:color="auto" w:fill="66CCFF"/>
          </w:tcPr>
          <w:p w14:paraId="266F0EFA" w14:textId="77777777" w:rsidR="00244D3A" w:rsidRPr="00736551" w:rsidRDefault="00244D3A" w:rsidP="00312090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G 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>–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C936CF">
              <w:rPr>
                <w:rFonts w:ascii="Marianne" w:hAnsi="Marianne" w:cs="Arial"/>
                <w:b/>
                <w:bCs/>
                <w:sz w:val="22"/>
                <w:szCs w:val="22"/>
              </w:rPr>
              <w:t>Pièces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fournir par le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sous-traitant.</w:t>
            </w:r>
          </w:p>
        </w:tc>
      </w:tr>
    </w:tbl>
    <w:p w14:paraId="0DA1F7ED" w14:textId="77777777" w:rsidR="00244D3A" w:rsidRPr="00736551" w:rsidRDefault="00244D3A">
      <w:pPr>
        <w:jc w:val="both"/>
        <w:rPr>
          <w:rFonts w:ascii="Marianne" w:hAnsi="Marianne"/>
        </w:rPr>
      </w:pPr>
    </w:p>
    <w:p w14:paraId="19B109BB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spacing w:val="-10"/>
        </w:rPr>
        <w:t xml:space="preserve">Récapitulatif des informations, renseignements et documents demandés </w:t>
      </w:r>
      <w:r w:rsidRPr="00736551">
        <w:rPr>
          <w:rFonts w:ascii="Marianne" w:hAnsi="Marianne" w:cs="Arial"/>
        </w:rPr>
        <w:t xml:space="preserve">par l’acheteur dans le règlement de consultation </w:t>
      </w:r>
      <w:r w:rsidRPr="00736551">
        <w:rPr>
          <w:rFonts w:ascii="Marianne" w:hAnsi="Marianne" w:cs="Arial"/>
          <w:spacing w:val="-10"/>
        </w:rPr>
        <w:t>qui doivent être fournis, en annexe du présent document, par le sous-traitant pour justifier de ses capacités économiques et financière ou ses capacités professionnelles et techniques :</w:t>
      </w:r>
    </w:p>
    <w:p w14:paraId="37CEFB1D" w14:textId="77777777" w:rsidR="00244D3A" w:rsidRPr="00736551" w:rsidRDefault="00244D3A">
      <w:pPr>
        <w:jc w:val="both"/>
        <w:rPr>
          <w:rFonts w:ascii="Marianne" w:hAnsi="Marianne"/>
        </w:rPr>
      </w:pPr>
    </w:p>
    <w:p w14:paraId="1A845982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/>
          <w:bCs/>
          <w:spacing w:val="-10"/>
        </w:rPr>
        <w:t>formulaire ‘déclaration du candidat’ pré-rempli dûment complété accompagné des pièces demandées</w:t>
      </w:r>
    </w:p>
    <w:p w14:paraId="626A9F20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/>
          <w:bCs/>
          <w:spacing w:val="-10"/>
        </w:rPr>
        <w:t xml:space="preserve">un extrait Kbis </w:t>
      </w:r>
    </w:p>
    <w:p w14:paraId="2F6772BB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/>
          <w:bCs/>
          <w:spacing w:val="-10"/>
        </w:rPr>
        <w:t>un Relevé d’Identité Bancaire</w:t>
      </w:r>
    </w:p>
    <w:p w14:paraId="2EA93D30" w14:textId="77777777" w:rsidR="00244D3A" w:rsidRPr="00736551" w:rsidRDefault="00736551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r>
        <w:rPr>
          <w:rFonts w:ascii="Marianne" w:eastAsia="Arial" w:hAnsi="Marianne" w:cs="Arial"/>
          <w:b/>
          <w:bCs/>
          <w:spacing w:val="-10"/>
        </w:rPr>
        <w:t xml:space="preserve">une </w:t>
      </w:r>
      <w:r w:rsidR="00244D3A" w:rsidRPr="00736551">
        <w:rPr>
          <w:rFonts w:ascii="Marianne" w:eastAsia="Arial" w:hAnsi="Marianne" w:cs="Arial"/>
          <w:b/>
          <w:bCs/>
          <w:spacing w:val="-10"/>
        </w:rPr>
        <w:t>copie de l’attestation d’assurance responsabilité civile</w:t>
      </w:r>
    </w:p>
    <w:p w14:paraId="2D9D1854" w14:textId="77777777" w:rsidR="00244D3A" w:rsidRDefault="00244D3A">
      <w:pPr>
        <w:jc w:val="both"/>
        <w:rPr>
          <w:rFonts w:ascii="Marianne" w:eastAsia="Arial" w:hAnsi="Marianne" w:cs="Arial"/>
          <w:b/>
          <w:bCs/>
          <w:spacing w:val="-1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6D3BBA66" w14:textId="77777777">
        <w:tc>
          <w:tcPr>
            <w:tcW w:w="10277" w:type="dxa"/>
            <w:shd w:val="clear" w:color="auto" w:fill="66CCFF"/>
          </w:tcPr>
          <w:p w14:paraId="7EBB29B3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H - Attestations sur l’honneur du sous-traitant.</w:t>
            </w:r>
          </w:p>
        </w:tc>
      </w:tr>
    </w:tbl>
    <w:p w14:paraId="276ADD5B" w14:textId="77777777" w:rsidR="00244D3A" w:rsidRPr="00736551" w:rsidRDefault="00244D3A">
      <w:pPr>
        <w:jc w:val="both"/>
        <w:rPr>
          <w:rFonts w:ascii="Marianne" w:hAnsi="Marianne"/>
        </w:rPr>
      </w:pPr>
    </w:p>
    <w:p w14:paraId="49BAC11A" w14:textId="77777777" w:rsidR="00244D3A" w:rsidRPr="00736551" w:rsidRDefault="00244D3A">
      <w:pPr>
        <w:tabs>
          <w:tab w:val="left" w:pos="576"/>
        </w:tabs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Le sous-traitant, déclare sur l’honneur </w:t>
      </w:r>
      <w:r w:rsidRPr="00736551">
        <w:rPr>
          <w:rFonts w:ascii="Marianne" w:eastAsia="Wingdings" w:hAnsi="Marianne" w:cs="Arial"/>
        </w:rPr>
        <w:t xml:space="preserve">ne pas entrer dans l’un des cas d’exclusion prévus aux </w:t>
      </w:r>
      <w:hyperlink r:id="rId14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</w:rPr>
        <w:t xml:space="preserve"> ou aux </w:t>
      </w:r>
      <w:hyperlink r:id="rId15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</w:rPr>
        <w:t xml:space="preserve"> du code de la commande publique</w:t>
      </w:r>
      <w:r w:rsidRPr="00736551">
        <w:rPr>
          <w:rFonts w:ascii="Marianne" w:hAnsi="Marianne" w:cs="Arial"/>
        </w:rPr>
        <w:t>(*) (**)</w:t>
      </w:r>
    </w:p>
    <w:p w14:paraId="1C8EE28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944375" w14:textId="77777777" w:rsidR="00244D3A" w:rsidRPr="00312090" w:rsidRDefault="00244D3A">
      <w:pPr>
        <w:tabs>
          <w:tab w:val="left" w:pos="576"/>
        </w:tabs>
        <w:ind w:left="-22"/>
        <w:jc w:val="both"/>
        <w:rPr>
          <w:rFonts w:ascii="Marianne" w:hAnsi="Marianne" w:cs="Arial"/>
          <w:b/>
          <w:sz w:val="22"/>
          <w:szCs w:val="22"/>
        </w:rPr>
      </w:pPr>
      <w:r w:rsidRPr="00312090">
        <w:rPr>
          <w:rFonts w:ascii="Marianne" w:eastAsia="Arial" w:hAnsi="Marianne" w:cs="Arial"/>
          <w:b/>
          <w:sz w:val="22"/>
          <w:szCs w:val="22"/>
        </w:rPr>
        <w:t xml:space="preserve">Afin d’attester que le sous-traitant, n’est pas dans un de ces cas d’interdiction de soumissionner, cocher la case suivante : </w:t>
      </w:r>
      <w:r w:rsidRPr="00312090">
        <w:rPr>
          <w:rFonts w:ascii="Courier New" w:eastAsia="Arial" w:hAnsi="Courier New" w:cs="Courier New"/>
          <w:b/>
          <w:color w:val="FF0000"/>
          <w:sz w:val="52"/>
          <w:szCs w:val="52"/>
        </w:rPr>
        <w:t>□</w:t>
      </w:r>
    </w:p>
    <w:p w14:paraId="42ECBC1E" w14:textId="77777777" w:rsidR="00244D3A" w:rsidRPr="00736551" w:rsidRDefault="00244D3A">
      <w:pPr>
        <w:ind w:left="-22"/>
        <w:jc w:val="both"/>
        <w:rPr>
          <w:rFonts w:ascii="Marianne" w:hAnsi="Marianne" w:cs="Arial"/>
          <w:b/>
          <w:sz w:val="22"/>
          <w:szCs w:val="22"/>
        </w:rPr>
      </w:pPr>
    </w:p>
    <w:p w14:paraId="0EF991DC" w14:textId="77777777" w:rsidR="00244D3A" w:rsidRPr="00736551" w:rsidRDefault="00244D3A">
      <w:pPr>
        <w:jc w:val="both"/>
        <w:rPr>
          <w:rFonts w:ascii="Marianne" w:eastAsia="Wingdings" w:hAnsi="Marianne" w:cs="Arial"/>
          <w:sz w:val="18"/>
          <w:szCs w:val="18"/>
        </w:rPr>
      </w:pPr>
      <w:r w:rsidRPr="00736551">
        <w:rPr>
          <w:rFonts w:ascii="Marianne" w:eastAsia="Wingdings" w:hAnsi="Marianne" w:cs="Arial"/>
          <w:sz w:val="18"/>
          <w:szCs w:val="18"/>
        </w:rPr>
        <w:t xml:space="preserve">(*) Lorsqu'un opérateur économique est, au cours de la procédure de passation d'un marché, placé dans l'un des cas d'exclusion mentionnés aux </w:t>
      </w:r>
      <w:hyperlink r:id="rId16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, aux </w:t>
      </w:r>
      <w:hyperlink r:id="rId17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ou aux </w:t>
      </w:r>
      <w:hyperlink r:id="rId18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2341-1 à L. 2341-3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75D58ED" w14:textId="77777777" w:rsidR="00736551" w:rsidRPr="00736551" w:rsidRDefault="00736551">
      <w:pPr>
        <w:ind w:left="-22"/>
        <w:jc w:val="both"/>
        <w:rPr>
          <w:rFonts w:ascii="Marianne" w:eastAsia="Wingdings" w:hAnsi="Marianne" w:cs="Arial"/>
          <w:sz w:val="8"/>
          <w:szCs w:val="8"/>
        </w:rPr>
      </w:pPr>
    </w:p>
    <w:p w14:paraId="732931D2" w14:textId="77777777" w:rsidR="00244D3A" w:rsidRPr="00736551" w:rsidRDefault="00244D3A">
      <w:pPr>
        <w:ind w:left="-22"/>
        <w:jc w:val="both"/>
        <w:rPr>
          <w:rFonts w:ascii="Marianne" w:hAnsi="Marianne" w:cs="Arial"/>
        </w:rPr>
      </w:pPr>
      <w:r w:rsidRPr="00736551">
        <w:rPr>
          <w:rFonts w:ascii="Marianne" w:eastAsia="Wingdings" w:hAnsi="Marianne" w:cs="Arial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0E692833" w14:textId="77777777" w:rsidR="00244D3A" w:rsidRDefault="00244D3A">
      <w:pPr>
        <w:ind w:left="-22"/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040678E" w14:textId="77777777">
        <w:tc>
          <w:tcPr>
            <w:tcW w:w="10277" w:type="dxa"/>
            <w:shd w:val="clear" w:color="auto" w:fill="66CCFF"/>
          </w:tcPr>
          <w:p w14:paraId="7337D7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I – Signatures du sous-traitant et du soumissionnaire </w:t>
            </w:r>
          </w:p>
        </w:tc>
      </w:tr>
    </w:tbl>
    <w:p w14:paraId="01D187EF" w14:textId="77777777" w:rsidR="00244D3A" w:rsidRPr="00736551" w:rsidRDefault="00244D3A">
      <w:pPr>
        <w:jc w:val="both"/>
        <w:rPr>
          <w:rFonts w:ascii="Marianne" w:hAnsi="Marianne"/>
        </w:rPr>
      </w:pPr>
    </w:p>
    <w:p w14:paraId="5E588B07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 xml:space="preserve">    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244D3A" w:rsidRPr="00736551" w14:paraId="5D4C0AC9" w14:textId="77777777">
        <w:tc>
          <w:tcPr>
            <w:tcW w:w="5172" w:type="dxa"/>
            <w:shd w:val="clear" w:color="auto" w:fill="auto"/>
          </w:tcPr>
          <w:p w14:paraId="05DA7606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  <w:r w:rsidRPr="00736551">
              <w:rPr>
                <w:rFonts w:ascii="Marianne" w:hAnsi="Marianne" w:cs="Arial"/>
              </w:rPr>
              <w:t xml:space="preserve">Le sous-traitant : </w:t>
            </w:r>
          </w:p>
          <w:p w14:paraId="28EE6C91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DC7CCD8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50A4FF6" w14:textId="77777777" w:rsidR="00244D3A" w:rsidRPr="00736551" w:rsidRDefault="00244D3A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5173" w:type="dxa"/>
            <w:shd w:val="clear" w:color="auto" w:fill="auto"/>
          </w:tcPr>
          <w:p w14:paraId="07AA73E0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  <w:r w:rsidRPr="00736551">
              <w:rPr>
                <w:rFonts w:ascii="Marianne" w:hAnsi="Marianne" w:cs="Arial"/>
              </w:rPr>
              <w:t>Le soumissionnaire :</w:t>
            </w:r>
          </w:p>
          <w:p w14:paraId="312C143E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03116D63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E9E20CB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35CDD92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CAD0201" w14:textId="77777777" w:rsidR="00244D3A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5432C3A4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A885E45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1C9541EE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50EF82B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A533FA5" w14:textId="77777777" w:rsidR="00736551" w:rsidRP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76BD755B" w14:textId="77777777" w:rsidR="00244D3A" w:rsidRPr="00736551" w:rsidRDefault="00244D3A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736551">
              <w:rPr>
                <w:rFonts w:ascii="Marianne" w:hAnsi="Marianne" w:cs="Arial"/>
                <w:i/>
                <w:iCs/>
                <w:sz w:val="14"/>
                <w:szCs w:val="14"/>
              </w:rPr>
              <w:t>(En cas de groupement d’entreprises, la déclaration est signée par l’ensemble des membres du groupement ou par le mandataire habilité par les membres du groupement)</w:t>
            </w:r>
          </w:p>
        </w:tc>
      </w:tr>
    </w:tbl>
    <w:p w14:paraId="49469C0F" w14:textId="77777777" w:rsidR="00BB1BD4" w:rsidRPr="00736551" w:rsidRDefault="00BB1BD4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39232DDC" w14:textId="77777777">
        <w:tc>
          <w:tcPr>
            <w:tcW w:w="10277" w:type="dxa"/>
            <w:shd w:val="clear" w:color="auto" w:fill="66CCFF"/>
          </w:tcPr>
          <w:p w14:paraId="34DDB987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J - Acceptation du sous-traitant et agrément de ses conditions de paiement.</w:t>
            </w:r>
          </w:p>
        </w:tc>
      </w:tr>
    </w:tbl>
    <w:p w14:paraId="15A32525" w14:textId="77777777" w:rsidR="00244D3A" w:rsidRPr="00736551" w:rsidRDefault="00244D3A">
      <w:pPr>
        <w:jc w:val="both"/>
        <w:rPr>
          <w:rFonts w:ascii="Marianne" w:hAnsi="Marianne"/>
        </w:rPr>
      </w:pPr>
    </w:p>
    <w:p w14:paraId="2ED4B636" w14:textId="77777777" w:rsidR="00244D3A" w:rsidRDefault="00244D3A" w:rsidP="00736551">
      <w:pPr>
        <w:jc w:val="both"/>
      </w:pPr>
      <w:r w:rsidRPr="00736551">
        <w:rPr>
          <w:rFonts w:ascii="Marianne" w:hAnsi="Marianne" w:cs="Arial"/>
          <w:b/>
          <w:bCs/>
          <w:sz w:val="22"/>
          <w:szCs w:val="22"/>
        </w:rPr>
        <w:t>La signature et la notification du marché emporte acceptation du sous-traitant et agrément des conditions de paiement.</w:t>
      </w:r>
    </w:p>
    <w:sectPr w:rsidR="00244D3A" w:rsidSect="00182666">
      <w:headerReference w:type="default" r:id="rId19"/>
      <w:pgSz w:w="11906" w:h="16838"/>
      <w:pgMar w:top="567" w:right="843" w:bottom="567" w:left="851" w:header="454" w:footer="3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59B4" w14:textId="77777777" w:rsidR="00D45929" w:rsidRDefault="00D45929">
      <w:r>
        <w:separator/>
      </w:r>
    </w:p>
  </w:endnote>
  <w:endnote w:type="continuationSeparator" w:id="0">
    <w:p w14:paraId="0F0A1A6A" w14:textId="77777777" w:rsidR="00D45929" w:rsidRDefault="00D4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-BoldMT">
    <w:altName w:val="Arial"/>
    <w:charset w:val="01"/>
    <w:family w:val="swiss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F112E" w14:textId="77777777" w:rsidR="00D45929" w:rsidRDefault="00D45929">
      <w:r>
        <w:separator/>
      </w:r>
    </w:p>
  </w:footnote>
  <w:footnote w:type="continuationSeparator" w:id="0">
    <w:p w14:paraId="017F943A" w14:textId="77777777" w:rsidR="00D45929" w:rsidRDefault="00D4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266D" w14:textId="77777777" w:rsidR="00244D3A" w:rsidRDefault="00244D3A">
    <w:pPr>
      <w:pStyle w:val="Pieddepage"/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itre10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  <w:sz w:val="20"/>
      </w:rPr>
    </w:lvl>
  </w:abstractNum>
  <w:num w:numId="1" w16cid:durableId="579608484">
    <w:abstractNumId w:val="0"/>
  </w:num>
  <w:num w:numId="2" w16cid:durableId="2003309211">
    <w:abstractNumId w:val="1"/>
  </w:num>
  <w:num w:numId="3" w16cid:durableId="1435327205">
    <w:abstractNumId w:val="2"/>
  </w:num>
  <w:num w:numId="4" w16cid:durableId="1992715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2F"/>
    <w:rsid w:val="00050F6D"/>
    <w:rsid w:val="0005630E"/>
    <w:rsid w:val="00065808"/>
    <w:rsid w:val="000E79E7"/>
    <w:rsid w:val="000F487A"/>
    <w:rsid w:val="0011392F"/>
    <w:rsid w:val="00182666"/>
    <w:rsid w:val="0019128B"/>
    <w:rsid w:val="001B0F2B"/>
    <w:rsid w:val="001E3804"/>
    <w:rsid w:val="00242F2F"/>
    <w:rsid w:val="00244D3A"/>
    <w:rsid w:val="00312090"/>
    <w:rsid w:val="00340E2B"/>
    <w:rsid w:val="0035737F"/>
    <w:rsid w:val="00363F05"/>
    <w:rsid w:val="00370B45"/>
    <w:rsid w:val="003E6CDE"/>
    <w:rsid w:val="00500BF2"/>
    <w:rsid w:val="00580853"/>
    <w:rsid w:val="006770C4"/>
    <w:rsid w:val="0067761A"/>
    <w:rsid w:val="0068531A"/>
    <w:rsid w:val="00736551"/>
    <w:rsid w:val="00741CCE"/>
    <w:rsid w:val="00742E3D"/>
    <w:rsid w:val="007657D1"/>
    <w:rsid w:val="00795ABF"/>
    <w:rsid w:val="00862293"/>
    <w:rsid w:val="00885508"/>
    <w:rsid w:val="008D6FFF"/>
    <w:rsid w:val="00975DE3"/>
    <w:rsid w:val="009A34F3"/>
    <w:rsid w:val="00A51F56"/>
    <w:rsid w:val="00A84133"/>
    <w:rsid w:val="00AC4373"/>
    <w:rsid w:val="00AE4139"/>
    <w:rsid w:val="00B91C08"/>
    <w:rsid w:val="00BB1BD4"/>
    <w:rsid w:val="00BD6B4C"/>
    <w:rsid w:val="00C936CF"/>
    <w:rsid w:val="00CB3D8B"/>
    <w:rsid w:val="00D10418"/>
    <w:rsid w:val="00D45929"/>
    <w:rsid w:val="00E90396"/>
    <w:rsid w:val="00EF31F7"/>
    <w:rsid w:val="00F7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2FDDCA"/>
  <w15:chartTrackingRefBased/>
  <w15:docId w15:val="{E80F25CE-9188-45DA-B089-97526B95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Courier New"/>
      <w:b/>
      <w:bCs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sz w:val="24"/>
      <w:szCs w:val="24"/>
    </w:rPr>
  </w:style>
  <w:style w:type="character" w:customStyle="1" w:styleId="WW8Num3z0">
    <w:name w:val="WW8Num3z0"/>
    <w:rPr>
      <w:rFonts w:ascii="Wingdings" w:hAnsi="Wingdings" w:cs="Wingdings"/>
      <w:sz w:val="20"/>
    </w:rPr>
  </w:style>
  <w:style w:type="character" w:customStyle="1" w:styleId="WW8Num4z0">
    <w:name w:val="WW8Num4z0"/>
    <w:rPr>
      <w:rFonts w:ascii="Wingdings" w:hAnsi="Wingdings" w:cs="Courier New"/>
      <w:sz w:val="2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cs="Times New Roman"/>
      <w:b/>
      <w:i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Arial" w:eastAsia="Times New Roman" w:hAnsi="Arial" w:cs="Arial"/>
      <w:sz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Appeldenote">
    <w:name w:val="Appel de not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1">
    <w:name w:val="WW-Absatz-Standardschriftart1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Bullet20Symbols">
    <w:name w:val="Bullet_20_Symbols"/>
  </w:style>
  <w:style w:type="character" w:customStyle="1" w:styleId="Caractresdenumrotation">
    <w:name w:val="Caractères de numérotation"/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licepardfaut1">
    <w:name w:val="Police par défaut1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customStyle="1" w:styleId="western">
    <w:name w:val="western"/>
    <w:basedOn w:val="Normal"/>
    <w:pPr>
      <w:suppressAutoHyphens w:val="0"/>
      <w:spacing w:before="100" w:after="119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Reponse">
    <w:name w:val="Reponse"/>
    <w:basedOn w:val="Normal"/>
    <w:pPr>
      <w:ind w:left="567" w:right="567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Paragraphe">
    <w:name w:val="Paragraphe"/>
    <w:basedOn w:val="Normal"/>
    <w:pPr>
      <w:spacing w:before="120"/>
      <w:jc w:val="both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LienInternet">
    <w:name w:val="Lien Internet"/>
    <w:rsid w:val="001826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3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8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ur-lex.europa.eu/LexUriServ/LexUriServ.do?uri=OJ:L:2003:124:0036:0041:fr:PDF" TargetMode="Externa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1213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7871</CharactersWithSpaces>
  <SharedDoc>false</SharedDoc>
  <HLinks>
    <vt:vector size="72" baseType="variant">
      <vt:variant>
        <vt:i4>2097235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983147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https://www.legifrance.gouv.fr/affichCodeArticle.do;jsessionid=4621551EBA8F207989B321CE0150EEF9.tplgfr42s_2?idArticle=LEGIARTI000037728295&amp;cidTexte=LEGITEXT000037701019&amp;dateTexte=20190401</vt:lpwstr>
      </vt:variant>
      <vt:variant>
        <vt:lpwstr/>
      </vt:variant>
      <vt:variant>
        <vt:i4>852067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2359336</vt:i4>
      </vt:variant>
      <vt:variant>
        <vt:i4>12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105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CUNY Marielle</dc:creator>
  <cp:keywords/>
  <dc:description/>
  <cp:lastModifiedBy>FABRE Thierry</cp:lastModifiedBy>
  <cp:revision>3</cp:revision>
  <cp:lastPrinted>1899-12-31T23:00:00Z</cp:lastPrinted>
  <dcterms:created xsi:type="dcterms:W3CDTF">2025-05-27T06:03:00Z</dcterms:created>
  <dcterms:modified xsi:type="dcterms:W3CDTF">2026-01-12T14:20:00Z</dcterms:modified>
</cp:coreProperties>
</file>